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5D734380" w:rsidR="00A23B3E" w:rsidRPr="004C3378" w:rsidRDefault="006A2EDC" w:rsidP="00D849F5">
            <w:pPr>
              <w:spacing w:before="0" w:after="0"/>
              <w:rPr>
                <w:color w:val="000000" w:themeColor="text1"/>
                <w:sz w:val="20"/>
                <w:szCs w:val="20"/>
              </w:rPr>
            </w:pPr>
            <w:r w:rsidRPr="006A2EDC">
              <w:rPr>
                <w:color w:val="000000" w:themeColor="text1"/>
                <w:sz w:val="20"/>
                <w:szCs w:val="20"/>
              </w:rPr>
              <w:t xml:space="preserve">PROCEURA APERTA PER L’AFFIDAMENTO DEI LAVORI DI CUI AL PROGETTO “RECUPERO FUNZIONALE DEL SOTTOTETTO DEL CASTELLO DI PODENZANO PER LA REALIZZAZIONE DI SPAZI DI COWORKING – 1° STRALCIO. C.U.P.: C61I22000320006. CIG: </w:t>
            </w:r>
            <w:r w:rsidR="00CE4525" w:rsidRPr="00CE4525">
              <w:rPr>
                <w:color w:val="000000" w:themeColor="text1"/>
                <w:sz w:val="20"/>
                <w:szCs w:val="20"/>
              </w:rPr>
              <w:t>A01D40ADC0</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329E1314"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CIG </w:t>
            </w:r>
            <w:r w:rsidR="00CE4525" w:rsidRPr="00CE4525">
              <w:rPr>
                <w:color w:val="000000" w:themeColor="text1"/>
                <w:sz w:val="20"/>
                <w:szCs w:val="20"/>
              </w:rPr>
              <w:t>A01D40ADC0</w:t>
            </w:r>
          </w:p>
          <w:p w14:paraId="2FC31B6A" w14:textId="464181B4"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CUP </w:t>
            </w:r>
            <w:r w:rsidR="006A2EDC" w:rsidRPr="006A2EDC">
              <w:rPr>
                <w:color w:val="000000" w:themeColor="text1"/>
                <w:sz w:val="20"/>
                <w:szCs w:val="20"/>
              </w:rPr>
              <w:t>C61I22000320006</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 "impresa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lastRenderedPageBreak/>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d) [ ]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lastRenderedPageBreak/>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lastRenderedPageBreak/>
              <w:t>[ ]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specifici,ecc.):</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r w:rsidRPr="004C3378">
              <w:rPr>
                <w:color w:val="000000" w:themeColor="text1"/>
                <w:sz w:val="20"/>
                <w:szCs w:val="20"/>
              </w:rPr>
              <w:t>[ ]Sì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135E535A"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r w:rsidRPr="004C3378">
              <w:rPr>
                <w:color w:val="000000" w:themeColor="text1"/>
                <w:sz w:val="20"/>
                <w:szCs w:val="20"/>
              </w:rPr>
              <w:t>[ ]Sì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24B060FD" w:rsidR="00A23B3E" w:rsidRPr="004C3378" w:rsidRDefault="00A23B3E" w:rsidP="00D849F5">
            <w:pPr>
              <w:spacing w:before="0" w:after="0"/>
              <w:rPr>
                <w:color w:val="000000" w:themeColor="text1"/>
                <w:sz w:val="20"/>
                <w:szCs w:val="20"/>
              </w:rPr>
            </w:pP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2014/24/ue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partecipazione a un’organizzazione criminale ( )</w:t>
            </w:r>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 )</w:t>
            </w:r>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 );</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reati terroristici o reati connessi alle attività terroristiche ( );</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riciclaggio di proventi di attività criminose o finanziamento al terrorismo ( );</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 )</w:t>
            </w:r>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r w:rsidRPr="004C3378">
              <w:rPr>
                <w:b/>
                <w:bCs/>
                <w:color w:val="000000" w:themeColor="text1"/>
                <w:sz w:val="20"/>
                <w:szCs w:val="20"/>
              </w:rPr>
              <w:t>[ ]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41"/>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(Articolo 94, comma 5, lett.a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r w:rsidRPr="004C3378">
              <w:rPr>
                <w:b/>
                <w:bCs/>
                <w:color w:val="000000" w:themeColor="text1"/>
                <w:sz w:val="20"/>
                <w:szCs w:val="20"/>
              </w:rPr>
              <w:t>[ ]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(articolo 94 comma 5 lett.c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r w:rsidRPr="004C3378">
              <w:rPr>
                <w:color w:val="000000" w:themeColor="text1"/>
                <w:sz w:val="20"/>
                <w:szCs w:val="20"/>
              </w:rPr>
              <w:t xml:space="preserve"> ?</w:t>
            </w:r>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 ]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r w:rsidRPr="004C3378">
              <w:rPr>
                <w:b/>
                <w:bCs/>
                <w:color w:val="000000" w:themeColor="text1"/>
                <w:sz w:val="20"/>
                <w:szCs w:val="20"/>
              </w:rPr>
              <w:t>[ ]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r w:rsidRPr="004C3378">
              <w:rPr>
                <w:b/>
                <w:bCs/>
                <w:color w:val="000000" w:themeColor="text1"/>
                <w:sz w:val="20"/>
                <w:szCs w:val="20"/>
              </w:rPr>
              <w:t>[ ]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r w:rsidRPr="004C3378">
              <w:rPr>
                <w:b/>
                <w:bCs/>
                <w:color w:val="000000" w:themeColor="text1"/>
                <w:sz w:val="20"/>
                <w:szCs w:val="20"/>
              </w:rPr>
              <w:t>[ ]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gravi illeciti professionali di cui all’art.95 co.1 lett.e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r w:rsidRPr="004C3378">
              <w:rPr>
                <w:b/>
                <w:bCs/>
                <w:color w:val="000000" w:themeColor="text1"/>
                <w:sz w:val="20"/>
                <w:szCs w:val="20"/>
              </w:rPr>
              <w:t>[ ]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r w:rsidRPr="004C3378">
              <w:rPr>
                <w:b/>
                <w:bCs/>
                <w:color w:val="000000" w:themeColor="text1"/>
                <w:sz w:val="20"/>
                <w:szCs w:val="20"/>
              </w:rPr>
              <w:t>[ ]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c1) [ ]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c1) [ ]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a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r w:rsidRPr="004C3378">
              <w:rPr>
                <w:b/>
                <w:bCs/>
                <w:color w:val="000000" w:themeColor="text1"/>
                <w:w w:val="0"/>
                <w:sz w:val="20"/>
                <w:szCs w:val="20"/>
              </w:rPr>
              <w:t>[ ]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t>[ ]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lastRenderedPageBreak/>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10591">
    <w:abstractNumId w:val="0"/>
  </w:num>
  <w:num w:numId="2" w16cid:durableId="1101947181">
    <w:abstractNumId w:val="1"/>
  </w:num>
  <w:num w:numId="3" w16cid:durableId="1378626658">
    <w:abstractNumId w:val="2"/>
  </w:num>
  <w:num w:numId="4" w16cid:durableId="1069036266">
    <w:abstractNumId w:val="3"/>
  </w:num>
  <w:num w:numId="5" w16cid:durableId="2008171040">
    <w:abstractNumId w:val="4"/>
  </w:num>
  <w:num w:numId="6" w16cid:durableId="795222399">
    <w:abstractNumId w:val="5"/>
  </w:num>
  <w:num w:numId="7" w16cid:durableId="259142786">
    <w:abstractNumId w:val="6"/>
  </w:num>
  <w:num w:numId="8" w16cid:durableId="1927573246">
    <w:abstractNumId w:val="7"/>
  </w:num>
  <w:num w:numId="9" w16cid:durableId="1178151509">
    <w:abstractNumId w:val="8"/>
  </w:num>
  <w:num w:numId="10" w16cid:durableId="1225218528">
    <w:abstractNumId w:val="9"/>
  </w:num>
  <w:num w:numId="11" w16cid:durableId="1109201946">
    <w:abstractNumId w:val="10"/>
  </w:num>
  <w:num w:numId="12" w16cid:durableId="1620605386">
    <w:abstractNumId w:val="11"/>
  </w:num>
  <w:num w:numId="13" w16cid:durableId="595945901">
    <w:abstractNumId w:val="12"/>
  </w:num>
  <w:num w:numId="14" w16cid:durableId="1005326673">
    <w:abstractNumId w:val="13"/>
  </w:num>
  <w:num w:numId="15" w16cid:durableId="2048869898">
    <w:abstractNumId w:val="14"/>
  </w:num>
  <w:num w:numId="16" w16cid:durableId="1787237368">
    <w:abstractNumId w:val="22"/>
  </w:num>
  <w:num w:numId="17" w16cid:durableId="34354575">
    <w:abstractNumId w:val="18"/>
  </w:num>
  <w:num w:numId="18" w16cid:durableId="237518783">
    <w:abstractNumId w:val="27"/>
  </w:num>
  <w:num w:numId="19" w16cid:durableId="1848129732">
    <w:abstractNumId w:val="23"/>
  </w:num>
  <w:num w:numId="20" w16cid:durableId="660887828">
    <w:abstractNumId w:val="25"/>
  </w:num>
  <w:num w:numId="21" w16cid:durableId="422922479">
    <w:abstractNumId w:val="24"/>
  </w:num>
  <w:num w:numId="22" w16cid:durableId="967861282">
    <w:abstractNumId w:val="17"/>
  </w:num>
  <w:num w:numId="23" w16cid:durableId="1964383645">
    <w:abstractNumId w:val="20"/>
  </w:num>
  <w:num w:numId="24" w16cid:durableId="1329334667">
    <w:abstractNumId w:val="19"/>
  </w:num>
  <w:num w:numId="25" w16cid:durableId="1278026374">
    <w:abstractNumId w:val="21"/>
  </w:num>
  <w:num w:numId="26" w16cid:durableId="1961376686">
    <w:abstractNumId w:val="26"/>
  </w:num>
  <w:num w:numId="27" w16cid:durableId="1313025453">
    <w:abstractNumId w:val="15"/>
  </w:num>
  <w:num w:numId="28" w16cid:durableId="629942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D33A5"/>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162E"/>
    <w:rsid w:val="003A443E"/>
    <w:rsid w:val="003B3636"/>
    <w:rsid w:val="003E433C"/>
    <w:rsid w:val="003E54A0"/>
    <w:rsid w:val="003E60D1"/>
    <w:rsid w:val="003E772B"/>
    <w:rsid w:val="003E7810"/>
    <w:rsid w:val="004037B6"/>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2EDC"/>
    <w:rsid w:val="006A5E21"/>
    <w:rsid w:val="006B430C"/>
    <w:rsid w:val="006B4D39"/>
    <w:rsid w:val="006C6070"/>
    <w:rsid w:val="006F3D34"/>
    <w:rsid w:val="00757373"/>
    <w:rsid w:val="00762428"/>
    <w:rsid w:val="00766402"/>
    <w:rsid w:val="007B50B2"/>
    <w:rsid w:val="007E7CD4"/>
    <w:rsid w:val="008154AA"/>
    <w:rsid w:val="008207EE"/>
    <w:rsid w:val="00851972"/>
    <w:rsid w:val="00862AF5"/>
    <w:rsid w:val="00863A98"/>
    <w:rsid w:val="00892FC7"/>
    <w:rsid w:val="0089654F"/>
    <w:rsid w:val="008B74ED"/>
    <w:rsid w:val="008C734C"/>
    <w:rsid w:val="008E3A62"/>
    <w:rsid w:val="008F12E6"/>
    <w:rsid w:val="00900583"/>
    <w:rsid w:val="00912481"/>
    <w:rsid w:val="00934658"/>
    <w:rsid w:val="00946BE3"/>
    <w:rsid w:val="009644B4"/>
    <w:rsid w:val="0099272A"/>
    <w:rsid w:val="009C0F88"/>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E4525"/>
    <w:rsid w:val="00CF449A"/>
    <w:rsid w:val="00D05014"/>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35527"/>
    <w:rsid w:val="00F51F37"/>
    <w:rsid w:val="00F575CF"/>
    <w:rsid w:val="00F62D30"/>
    <w:rsid w:val="00F62F53"/>
    <w:rsid w:val="00F672A2"/>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1405-3F06-4EE8-8ABC-045943B7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5587</Words>
  <Characters>31851</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37364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Sartori, Tania</cp:lastModifiedBy>
  <cp:revision>16</cp:revision>
  <cp:lastPrinted>2016-07-15T13:50:00Z</cp:lastPrinted>
  <dcterms:created xsi:type="dcterms:W3CDTF">2023-07-19T11:59:00Z</dcterms:created>
  <dcterms:modified xsi:type="dcterms:W3CDTF">2023-10-13T06:43:00Z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